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DB6AB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C6849D2">
      <w:pPr>
        <w:spacing w:line="560" w:lineRule="exact"/>
        <w:ind w:firstLine="643" w:firstLineChars="200"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珠海校区重点主题班建活动经费使用说明</w:t>
      </w:r>
    </w:p>
    <w:bookmarkEnd w:id="3"/>
    <w:p w14:paraId="3C81F304">
      <w:pPr>
        <w:widowControl w:val="0"/>
        <w:spacing w:line="560" w:lineRule="exact"/>
        <w:ind w:firstLine="640" w:firstLineChars="200"/>
        <w:jc w:val="both"/>
        <w:rPr>
          <w:rFonts w:hint="eastAsia" w:ascii="仿宋_GB2312" w:hAnsi="仿宋_GB2312" w:eastAsia="仿宋_GB2312" w:cs="Times New Roman"/>
          <w:kern w:val="2"/>
          <w:sz w:val="32"/>
          <w:szCs w:val="22"/>
          <w:lang w:val="en-US" w:eastAsia="zh-CN" w:bidi="ar-SA"/>
        </w:rPr>
      </w:pPr>
    </w:p>
    <w:p w14:paraId="529504F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一、活动经费使用原则</w:t>
      </w:r>
    </w:p>
    <w:p w14:paraId="410031B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学生活动经费用于支持各院系班级、支部、社团等基层组织开展各类型学生活动，坚持公正公开、专款专用、实报实销、规范管理的使用原则。</w:t>
      </w:r>
    </w:p>
    <w:p w14:paraId="26D83D4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2.学生活动经费支持项目包括：党建活动、班级活动、宿舍活动，以及学术、就业、心理健康等主题教育活动及其他专项学生活动。</w:t>
      </w:r>
    </w:p>
    <w:p w14:paraId="099863C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学生活动经费一律实行项目制管理，采取“先申请、再活动、后报销”的使用流程，秉承服务学生、突出重点、勤俭节约的基本原则，严禁铺张浪费。</w:t>
      </w:r>
    </w:p>
    <w:p w14:paraId="42650B8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sz w:val="28"/>
          <w:szCs w:val="28"/>
        </w:rPr>
        <w:t>4.学生活动经费原则上按照单次活动人均不超过20元，总额不超过1000元标准审批，并将依据活动主题、参与人数、形式内容等因素确定最终经费额度。</w:t>
      </w:r>
    </w:p>
    <w:p w14:paraId="3EDCE553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5.学生活动经费管理严格执行学校相关财务制度规定，应参照审议通过的经费预算严格执行，严禁任何组织和个人通过虚构活动支出挪用或套取活动经费。</w:t>
      </w:r>
    </w:p>
    <w:p w14:paraId="096ED22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</w:pPr>
      <w:r>
        <w:rPr>
          <w:rFonts w:hint="eastAsia" w:ascii="黑体" w:hAnsi="黑体" w:eastAsia="黑体" w:cs="黑体"/>
          <w:b/>
          <w:bCs/>
          <w:kern w:val="2"/>
          <w:sz w:val="28"/>
          <w:szCs w:val="24"/>
          <w:lang w:val="en-US" w:eastAsia="zh-CN" w:bidi="ar-SA"/>
        </w:rPr>
        <w:t>二、活动经费支持类型</w:t>
      </w:r>
    </w:p>
    <w:p w14:paraId="547032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OLE_LINK2"/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28"/>
          <w:szCs w:val="28"/>
        </w:rPr>
        <w:t>食品：</w:t>
      </w:r>
      <w:bookmarkStart w:id="1" w:name="OLE_LINK1"/>
      <w:r>
        <w:rPr>
          <w:rFonts w:hint="eastAsia" w:ascii="仿宋_GB2312" w:hAnsi="仿宋_GB2312" w:eastAsia="仿宋_GB2312" w:cs="仿宋_GB2312"/>
          <w:sz w:val="28"/>
          <w:szCs w:val="28"/>
        </w:rPr>
        <w:t>本着节俭办活动原则，严控不必要支出，不鼓励食品支出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</w:rPr>
        <w:t>如确因活动开展需要，采购的食品需与活动开展密切相关，合理性充分，在立项时附上说明，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于立项申请表详细列出采购类目，</w:t>
      </w:r>
      <w:r>
        <w:rPr>
          <w:rFonts w:hint="eastAsia" w:ascii="仿宋_GB2312" w:hAnsi="仿宋_GB2312" w:eastAsia="仿宋_GB2312" w:cs="仿宋_GB2312"/>
          <w:sz w:val="28"/>
          <w:szCs w:val="28"/>
        </w:rPr>
        <w:t>通过后方可采购，否则不予报销。</w:t>
      </w:r>
      <w:bookmarkEnd w:id="1"/>
    </w:p>
    <w:p w14:paraId="04CD7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2.奖品：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项目设置奖项的，以精神鼓励为主，可适当给与少量的物质奖励，按照比例确定相应奖项，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奖品覆盖率不得超过参与人数的50%，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活动</w:t>
      </w:r>
      <w:r>
        <w:rPr>
          <w:rFonts w:hint="eastAsia" w:ascii="仿宋_GB2312" w:hAnsi="仿宋_GB2312" w:eastAsia="仿宋_GB2312" w:cs="仿宋_GB2312"/>
          <w:sz w:val="28"/>
          <w:szCs w:val="28"/>
        </w:rPr>
        <w:t>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得仅发放</w:t>
      </w:r>
      <w:r>
        <w:rPr>
          <w:rFonts w:hint="eastAsia" w:ascii="仿宋_GB2312" w:hAnsi="仿宋_GB2312" w:eastAsia="仿宋_GB2312" w:cs="仿宋_GB2312"/>
          <w:sz w:val="28"/>
          <w:szCs w:val="28"/>
        </w:rPr>
        <w:t>奖品。应本着反对浪费的原则，对获奖人的学习、教育有实际使用价值，不可发放华而不实的奖品。报销时提供活动通知（体现奖项设置、发放规则）和获奖人员名单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奖品签领单需有亲笔签字（模板见附件2）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240C2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Times New Roman" w:hAnsi="Times New Roman" w:eastAsia="宋体" w:cs="仿宋_GB2312"/>
          <w:sz w:val="28"/>
          <w:szCs w:val="28"/>
          <w:lang w:val="en-US" w:eastAsia="zh-CN"/>
        </w:rPr>
        <w:t>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装：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学生活动所需服装原则上应采用租赁方式，确需购置的，人均低于100元的可以配发给学生，人均高于100元的，不可发给个人，由购置单位集中保管。</w:t>
      </w:r>
    </w:p>
    <w:p w14:paraId="2377F5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28"/>
          <w:szCs w:val="28"/>
        </w:rPr>
        <w:t>交通费：用于活动开展实际产生的打车、公交、地铁、租车等人员交通费用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租车务必提供租车合同，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合同需要有对方盖章及签名，学校盖章及签名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，签名盖章均不可使用电子章。</w:t>
      </w:r>
    </w:p>
    <w:p w14:paraId="2BD82F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839" w:leftChars="266" w:hanging="280" w:hangingChars="100"/>
        <w:textAlignment w:val="auto"/>
        <w:rPr>
          <w:rFonts w:hint="default" w:ascii="Times New Roman" w:hAnsi="Times New Roman" w:eastAsia="仿宋_GB2312" w:cs="Times New Roman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书报资料复印费：用于活动开展实际需要的图书资料购买及打印制作支出等。</w:t>
      </w:r>
    </w:p>
    <w:p w14:paraId="6C2E6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0" w:firstLineChars="0"/>
        <w:textAlignment w:val="auto"/>
        <w:rPr>
          <w:rFonts w:hint="default" w:ascii="Times New Roman" w:hAnsi="Times New Roman" w:eastAsia="仿宋_GB2312" w:cs="Times New Roman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28"/>
          <w:szCs w:val="28"/>
        </w:rPr>
        <w:t>学生活动费：用于活动开展实际产生的门票场地、邮寄快递及在活动预算中符合财务规定的其他实际支出项目。</w:t>
      </w:r>
    </w:p>
    <w:p w14:paraId="71AE1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562" w:firstLineChars="200"/>
        <w:jc w:val="both"/>
        <w:textAlignment w:val="auto"/>
        <w:rPr>
          <w:rFonts w:ascii="宋体" w:hAnsi="宋体" w:eastAsia="仿宋_GB2312" w:cs="Times New Roman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_GB2312" w:cs="Times New Roman"/>
          <w:b/>
          <w:kern w:val="2"/>
          <w:sz w:val="28"/>
          <w:szCs w:val="28"/>
          <w:u w:val="single"/>
          <w:lang w:val="en-US" w:eastAsia="zh-CN" w:bidi="ar-SA"/>
        </w:rPr>
        <w:t>以下支出项目不予经费</w:t>
      </w:r>
      <w:r>
        <w:rPr>
          <w:rFonts w:hint="eastAsia" w:ascii="宋体" w:hAnsi="宋体" w:eastAsia="仿宋_GB2312" w:cs="Times New Roman"/>
          <w:b/>
          <w:color w:val="000000"/>
          <w:kern w:val="2"/>
          <w:sz w:val="28"/>
          <w:szCs w:val="28"/>
          <w:u w:val="single"/>
          <w:lang w:val="en-US" w:eastAsia="zh-CN" w:bidi="ar-SA"/>
        </w:rPr>
        <w:t>支持：</w:t>
      </w: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补助与人员劳务费，家具、电脑手机等消费品，礼品、纪念品、充值卡、鲜花绿植、服装等物资购买，用餐、旅游、加油、停车等经费支出及其他学校财经制度禁报限报类目。和节气有关的食品和物品，如：月饼、粽子、饺子等，明信片、日历等，邮票、公交卡不能报销，校内食堂场地租赁费和食材费用不能报销。</w:t>
      </w:r>
      <w:r>
        <w:rPr>
          <w:rFonts w:hint="eastAsia" w:ascii="宋体" w:hAnsi="宋体" w:eastAsia="仿宋_GB2312" w:cs="Times New Roman"/>
          <w:color w:val="000000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2"/>
          <w:sz w:val="28"/>
          <w:szCs w:val="28"/>
          <w:lang w:val="en-US" w:eastAsia="zh-CN" w:bidi="ar-SA"/>
        </w:rPr>
        <w:t>不合理支出费用由个人承担。</w:t>
      </w:r>
    </w:p>
    <w:bookmarkEnd w:id="0"/>
    <w:p w14:paraId="6C3CE35F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1036" w:firstLineChars="370"/>
        <w:textAlignment w:val="auto"/>
        <w:rPr>
          <w:rFonts w:hint="default" w:ascii="宋体" w:hAnsi="宋体" w:eastAsia="宋体" w:cs="Times New Roman"/>
          <w:b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财经处报销咨询电话：0756-3683208/0756-3621336</w:t>
      </w:r>
    </w:p>
    <w:p w14:paraId="1AAAAB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Times New Roman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i w:val="0"/>
          <w:iCs w:val="0"/>
          <w:sz w:val="24"/>
          <w:szCs w:val="24"/>
          <w:lang w:val="en-US" w:eastAsia="zh-CN"/>
        </w:rPr>
        <w:t>附件：</w:t>
      </w:r>
    </w:p>
    <w:p w14:paraId="4BAA747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2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textAlignment w:val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采购说明</w:t>
      </w:r>
    </w:p>
    <w:p w14:paraId="05ED8E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2.奖品签领表</w:t>
      </w:r>
    </w:p>
    <w:p w14:paraId="786A9E5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</w:p>
    <w:p w14:paraId="15E6DF6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</w:p>
    <w:p w14:paraId="1E6FDE6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宋体" w:cs="Times New Roman"/>
          <w:szCs w:val="20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附件1：</w:t>
      </w:r>
    </w:p>
    <w:p w14:paraId="2E1DBEA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2" w:name="_Hlk53050775"/>
    </w:p>
    <w:p w14:paraId="17EBEF6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班</w:t>
      </w:r>
      <w:bookmarkEnd w:id="2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说明</w:t>
      </w:r>
    </w:p>
    <w:p w14:paraId="3B799FB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3E97DE4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Times New Roman"/>
          <w:sz w:val="32"/>
          <w:szCs w:val="24"/>
        </w:rPr>
      </w:pPr>
      <w:r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  <w:t>x</w:t>
      </w:r>
      <w:r>
        <w:rPr>
          <w:rFonts w:hint="eastAsia" w:ascii="仿宋_GB2312" w:hAnsi="仿宋" w:eastAsia="仿宋_GB2312" w:cs="Times New Roman"/>
          <w:sz w:val="32"/>
          <w:szCs w:val="24"/>
        </w:rPr>
        <w:t>年x月x日，为举办xx活动，xx班采购了xx（物品名称）作为活动食品/奖品/道具/表演服装</w:t>
      </w:r>
      <w:r>
        <w:rPr>
          <w:rFonts w:hint="eastAsia" w:ascii="仿宋_GB2312" w:hAnsi="仿宋" w:eastAsia="仿宋_GB2312" w:cs="Times New Roman"/>
          <w:sz w:val="32"/>
          <w:szCs w:val="24"/>
          <w:lang w:eastAsia="zh-CN"/>
        </w:rPr>
        <w:t>……</w:t>
      </w:r>
      <w:r>
        <w:rPr>
          <w:rFonts w:hint="eastAsia" w:ascii="仿宋_GB2312" w:hAnsi="仿宋" w:eastAsia="仿宋_GB2312" w:cs="Times New Roman"/>
          <w:sz w:val="32"/>
          <w:szCs w:val="24"/>
        </w:rPr>
        <w:t>，供活动参与人员使用。</w:t>
      </w:r>
    </w:p>
    <w:p w14:paraId="1776FD5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Times New Roman"/>
          <w:sz w:val="32"/>
          <w:szCs w:val="24"/>
        </w:rPr>
      </w:pPr>
      <w:r>
        <w:rPr>
          <w:rFonts w:hint="eastAsia" w:ascii="仿宋_GB2312" w:hAnsi="仿宋" w:eastAsia="仿宋_GB2312" w:cs="Times New Roman"/>
          <w:sz w:val="32"/>
          <w:szCs w:val="24"/>
        </w:rPr>
        <w:t>特此说明。</w:t>
      </w:r>
    </w:p>
    <w:p w14:paraId="2AF0F2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Times New Roman"/>
          <w:sz w:val="32"/>
          <w:szCs w:val="24"/>
        </w:rPr>
      </w:pPr>
    </w:p>
    <w:p w14:paraId="752FDF57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5440" w:firstLineChars="1700"/>
        <w:jc w:val="both"/>
        <w:textAlignment w:val="auto"/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  <w:t>班主任:</w:t>
      </w:r>
    </w:p>
    <w:p w14:paraId="3269FE8F">
      <w:pPr>
        <w:keepNext w:val="0"/>
        <w:keepLines w:val="0"/>
        <w:pageBreakBefore w:val="0"/>
        <w:widowControl w:val="0"/>
        <w:tabs>
          <w:tab w:val="left" w:pos="5440"/>
          <w:tab w:val="left" w:pos="6720"/>
        </w:tabs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</w:pPr>
      <w:r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  <w:t xml:space="preserve">                         xx</w:t>
      </w:r>
      <w:r>
        <w:rPr>
          <w:rFonts w:hint="eastAsia" w:ascii="仿宋_GB2312" w:hAnsi="仿宋" w:eastAsia="仿宋_GB2312" w:cs="Times New Roman"/>
          <w:sz w:val="32"/>
          <w:szCs w:val="24"/>
        </w:rPr>
        <w:t>书院</w:t>
      </w:r>
      <w:r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  <w:t>/</w:t>
      </w:r>
      <w:r>
        <w:rPr>
          <w:rFonts w:hint="eastAsia" w:ascii="仿宋_GB2312" w:hAnsi="仿宋" w:eastAsia="仿宋_GB2312" w:cs="Times New Roman"/>
          <w:sz w:val="32"/>
          <w:szCs w:val="24"/>
        </w:rPr>
        <w:t>学院/</w:t>
      </w:r>
      <w:r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  <w:t>研究生管理服务中心</w:t>
      </w:r>
    </w:p>
    <w:p w14:paraId="42698FB1">
      <w:pPr>
        <w:keepNext w:val="0"/>
        <w:keepLines w:val="0"/>
        <w:pageBreakBefore w:val="0"/>
        <w:widowControl w:val="0"/>
        <w:tabs>
          <w:tab w:val="left" w:pos="5120"/>
        </w:tabs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1280" w:firstLine="4480" w:firstLineChars="1400"/>
        <w:jc w:val="both"/>
        <w:textAlignment w:val="auto"/>
        <w:rPr>
          <w:rFonts w:hint="eastAsia" w:ascii="仿宋_GB2312" w:hAnsi="仿宋" w:eastAsia="仿宋_GB2312" w:cs="Times New Roman"/>
          <w:sz w:val="32"/>
          <w:szCs w:val="24"/>
        </w:rPr>
      </w:pPr>
      <w:r>
        <w:rPr>
          <w:rFonts w:hint="eastAsia" w:ascii="仿宋_GB2312" w:hAnsi="仿宋" w:eastAsia="仿宋_GB2312" w:cs="Times New Roman"/>
          <w:sz w:val="32"/>
          <w:szCs w:val="24"/>
          <w:lang w:val="en-US" w:eastAsia="zh-CN"/>
        </w:rPr>
        <w:t xml:space="preserve">      x</w:t>
      </w:r>
      <w:r>
        <w:rPr>
          <w:rFonts w:hint="eastAsia" w:ascii="仿宋_GB2312" w:hAnsi="仿宋" w:eastAsia="仿宋_GB2312" w:cs="Times New Roman"/>
          <w:sz w:val="32"/>
          <w:szCs w:val="24"/>
        </w:rPr>
        <w:t>x年x月x日</w:t>
      </w:r>
    </w:p>
    <w:p w14:paraId="7B63BCE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</w:p>
    <w:p w14:paraId="3E809C3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宋体" w:hAnsi="宋体" w:eastAsia="宋体" w:cs="Times New Roman"/>
          <w:sz w:val="24"/>
          <w:szCs w:val="24"/>
        </w:rPr>
      </w:pPr>
    </w:p>
    <w:p w14:paraId="130E6B0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ascii="宋体" w:hAnsi="宋体" w:eastAsia="仿宋_GB2312" w:cs="Times New Roman"/>
          <w:kern w:val="2"/>
          <w:sz w:val="24"/>
          <w:szCs w:val="24"/>
          <w:lang w:val="en-US" w:eastAsia="zh-CN" w:bidi="ar-SA"/>
        </w:rPr>
      </w:pPr>
    </w:p>
    <w:p w14:paraId="46506A7E">
      <w:pPr>
        <w:rPr>
          <w:rFonts w:hint="eastAsia" w:ascii="宋体" w:hAnsi="宋体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_GB2312" w:cs="Times New Roman"/>
          <w:kern w:val="2"/>
          <w:sz w:val="24"/>
          <w:szCs w:val="24"/>
          <w:lang w:val="en-US" w:eastAsia="zh-CN" w:bidi="ar-SA"/>
        </w:rPr>
        <w:br w:type="page"/>
      </w:r>
    </w:p>
    <w:p w14:paraId="4302823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宋体" w:hAnsi="宋体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_GB2312" w:cs="Times New Roman"/>
          <w:kern w:val="2"/>
          <w:sz w:val="24"/>
          <w:szCs w:val="24"/>
          <w:lang w:val="en-US" w:eastAsia="zh-CN" w:bidi="ar-SA"/>
        </w:rPr>
        <w:t>附件2：</w:t>
      </w:r>
    </w:p>
    <w:p w14:paraId="787357C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xx班班建基金项目活动奖品签领表</w:t>
      </w:r>
    </w:p>
    <w:p w14:paraId="050D8AC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宋体" w:hAnsi="宋体" w:eastAsia="仿宋_GB2312" w:cs="Times New Roman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仿宋_GB2312" w:cs="Times New Roman"/>
          <w:kern w:val="2"/>
          <w:sz w:val="24"/>
          <w:szCs w:val="24"/>
          <w:lang w:val="en-US" w:eastAsia="zh-CN" w:bidi="ar-SA"/>
        </w:rPr>
        <w:t>项目负责人名称：                                  联系方式：</w:t>
      </w:r>
    </w:p>
    <w:tbl>
      <w:tblPr>
        <w:tblStyle w:val="3"/>
        <w:tblW w:w="10693" w:type="dxa"/>
        <w:tblInd w:w="-8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1238"/>
        <w:gridCol w:w="1295"/>
        <w:gridCol w:w="1295"/>
        <w:gridCol w:w="1295"/>
        <w:gridCol w:w="1762"/>
        <w:gridCol w:w="1703"/>
      </w:tblGrid>
      <w:tr w14:paraId="0F987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2105" w:type="dxa"/>
          </w:tcPr>
          <w:p w14:paraId="6C719F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奖品名称</w:t>
            </w:r>
          </w:p>
        </w:tc>
        <w:tc>
          <w:tcPr>
            <w:tcW w:w="1238" w:type="dxa"/>
          </w:tcPr>
          <w:p w14:paraId="45086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奖品类型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D0CECE"/>
                <w:kern w:val="2"/>
                <w:sz w:val="20"/>
                <w:szCs w:val="15"/>
                <w:vertAlign w:val="baseline"/>
                <w:lang w:val="en-US" w:eastAsia="zh-CN" w:bidi="ar-SA"/>
              </w:rPr>
              <w:t>（一/二/三等奖）</w:t>
            </w:r>
          </w:p>
        </w:tc>
        <w:tc>
          <w:tcPr>
            <w:tcW w:w="1295" w:type="dxa"/>
          </w:tcPr>
          <w:p w14:paraId="0DC61F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获奖人</w:t>
            </w:r>
          </w:p>
          <w:p w14:paraId="6C51B8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1295" w:type="dxa"/>
          </w:tcPr>
          <w:p w14:paraId="21AB26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获奖人</w:t>
            </w:r>
          </w:p>
          <w:p w14:paraId="53F967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学号</w:t>
            </w:r>
          </w:p>
        </w:tc>
        <w:tc>
          <w:tcPr>
            <w:tcW w:w="1295" w:type="dxa"/>
          </w:tcPr>
          <w:p w14:paraId="124DD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</w:t>
            </w:r>
          </w:p>
          <w:p w14:paraId="5547B0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签名</w:t>
            </w:r>
          </w:p>
          <w:p w14:paraId="79484A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D0CECE"/>
                <w:kern w:val="2"/>
                <w:sz w:val="20"/>
                <w:szCs w:val="15"/>
                <w:vertAlign w:val="baseline"/>
                <w:lang w:val="en-US" w:eastAsia="zh-CN" w:bidi="ar-SA"/>
              </w:rPr>
              <w:t>亲笔/代领人签名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2"/>
                <w:szCs w:val="18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1762" w:type="dxa"/>
          </w:tcPr>
          <w:p w14:paraId="0907DB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领奖人联系方式</w:t>
            </w:r>
          </w:p>
        </w:tc>
        <w:tc>
          <w:tcPr>
            <w:tcW w:w="1703" w:type="dxa"/>
          </w:tcPr>
          <w:p w14:paraId="0C187F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  <w:t>备注</w:t>
            </w:r>
          </w:p>
          <w:p w14:paraId="3F506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4"/>
                <w:szCs w:val="20"/>
                <w:vertAlign w:val="baseline"/>
                <w:lang w:val="en-US" w:eastAsia="zh-CN" w:bidi="ar-SA"/>
              </w:rPr>
            </w:pPr>
          </w:p>
        </w:tc>
      </w:tr>
      <w:tr w14:paraId="7DA0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105" w:type="dxa"/>
          </w:tcPr>
          <w:p w14:paraId="15B2A1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7AA280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8A14D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7D0DC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C7A8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default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2C0129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7567A1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2A828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105" w:type="dxa"/>
          </w:tcPr>
          <w:p w14:paraId="6874D7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5FE1F0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B4C4F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5C07D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FB190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158558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585BC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CCC9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4B41A3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747586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A6B95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85BD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346E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4B534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50FB02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31D00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5C7E65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4FD84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F2DF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2529EE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74038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3FCAC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E20F8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4E21F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7B87F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3AF5F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6341EC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17791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31F31B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03F64D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4F7D29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  <w:tr w14:paraId="5E780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2105" w:type="dxa"/>
          </w:tcPr>
          <w:p w14:paraId="4DAB34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38" w:type="dxa"/>
          </w:tcPr>
          <w:p w14:paraId="214269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0B826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0B0887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295" w:type="dxa"/>
          </w:tcPr>
          <w:p w14:paraId="4830B6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62" w:type="dxa"/>
          </w:tcPr>
          <w:p w14:paraId="6DF767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03" w:type="dxa"/>
          </w:tcPr>
          <w:p w14:paraId="0DB37A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56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1"/>
                <w:vertAlign w:val="baseline"/>
                <w:lang w:val="en-US" w:eastAsia="zh-CN" w:bidi="ar-SA"/>
              </w:rPr>
            </w:pPr>
          </w:p>
        </w:tc>
      </w:tr>
    </w:tbl>
    <w:p w14:paraId="6CF90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365" w:rightChars="65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698BBB7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textAlignment w:val="auto"/>
        <w:rPr>
          <w:rFonts w:hint="default"/>
          <w:lang w:val="en-US" w:eastAsia="zh-CN"/>
        </w:rPr>
      </w:pPr>
    </w:p>
    <w:p w14:paraId="331C59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42004F-CF11-4081-9480-99A4CD8CD2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9283EF3-E545-49E4-B65C-3760F6D7127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16AC0A1-1D94-4004-86A2-55E3FBF9ADB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0EB731B-1C2E-4464-82B6-EA19A781815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221BFC1-E9BF-419D-82CE-3EE9B8FA24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1A6D88"/>
    <w:rsid w:val="591A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2026-09-17T03:16:00Z</dcterms:created>
  <dc:creator>吴若婧</dc:creator>
  <cp:lastModifiedBy>吴若婧</cp:lastModifiedBy>
  <dcterms:modified xsi:type="dcterms:W3CDTF">2026-09-17T03:17:06Z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6F16B5A79FAA43B5ACD6F73608573891_11</vt:lpwstr>
  </property>
  <property fmtid="{D5CDD505-2E9C-101B-9397-08002B2CF9AE}" pid="4" name="KSOTemplateDocerSaveRecord">
    <vt:lpwstr>eyJoZGlkIjoiZTI3MWRhMzQ3NjE5ZjliMDMwNGM1NmUzM2Q3MmIyZmEiLCJ1c2VySWQiOiIxNjM3Njc3MTM0In0=</vt:lpwstr>
  </property>
</Properties>
</file>